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2D8F" w:rsidRPr="00442D8F" w:rsidRDefault="00442D8F" w:rsidP="00442D8F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r w:rsidRPr="00442D8F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Обо всех мерах налоговой поддержки мобилизованным можно узнать на новой </w:t>
      </w:r>
      <w:proofErr w:type="spellStart"/>
      <w:r w:rsidRPr="00442D8F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промостранице</w:t>
      </w:r>
      <w:proofErr w:type="spellEnd"/>
    </w:p>
    <w:p w:rsidR="00442D8F" w:rsidRPr="00442D8F" w:rsidRDefault="00442D8F" w:rsidP="00442D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сайте ФНС России запущена </w:t>
      </w:r>
      <w:hyperlink r:id="rId9" w:tgtFrame="blank" w:history="1">
        <w:r w:rsidRPr="00442D8F">
          <w:rPr>
            <w:rFonts w:ascii="Arial" w:eastAsia="Times New Roman" w:hAnsi="Arial" w:cs="Arial"/>
            <w:i/>
            <w:color w:val="000000" w:themeColor="text1"/>
            <w:sz w:val="28"/>
            <w:szCs w:val="28"/>
            <w:lang w:eastAsia="ru-RU"/>
          </w:rPr>
          <w:t>промостраница</w:t>
        </w:r>
      </w:hyperlink>
      <w:r w:rsidRPr="00442D8F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(</w:t>
      </w:r>
      <w:hyperlink r:id="rId10" w:history="1">
        <w:r w:rsidRPr="00442D8F">
          <w:rPr>
            <w:rFonts w:ascii="Arial" w:eastAsia="Times New Roman" w:hAnsi="Arial" w:cs="Arial"/>
            <w:i/>
            <w:color w:val="0000FF"/>
            <w:sz w:val="28"/>
            <w:szCs w:val="28"/>
            <w:u w:val="single"/>
            <w:lang w:eastAsia="ru-RU"/>
          </w:rPr>
          <w:t>https://www.nalog.gov.ru/rn77/mobilization/</w:t>
        </w:r>
      </w:hyperlink>
      <w:r w:rsidRPr="00442D8F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) </w:t>
      </w: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где подробно описано, какие льготы по уплате налогов и сдаче отчетности касаются мобилизованных граждан.</w:t>
      </w:r>
    </w:p>
    <w:p w:rsidR="00442D8F" w:rsidRPr="00442D8F" w:rsidRDefault="00442D8F" w:rsidP="00442D8F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Так, для них переносятся сроки уплаты налогов, сборов, страховых взносов, сдачи отчетности и предоставления уведомлений. Введен мораторий и на контрольные мероприятия в их отношении. Приостанавливается проведение проверок соблюдения российского валютного законодательства, сдвигаются сроки представления отчетов о движении и переводах денежных средств и иных финансовых активов по счетам (вкладам) в организациях финансового рынка за пределами России, в том числе без открытия банковского счета с использованием электронных средств платежа, а также уведомлений об открытии (закрытии) счетов (вкладов) в таких банках и изменении их реквизитов. Все меры действуют в период службы мобилизованного и до окончания третьего месяца после ее завершения.</w:t>
      </w:r>
    </w:p>
    <w:p w:rsidR="00442D8F" w:rsidRPr="00442D8F" w:rsidRDefault="00442D8F" w:rsidP="00442D8F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удобства меры налоговой поддержки разбиты на блоки. В каждом из них есть подразделы с наименованием той или иной меры, где информация представлена максимально удобно: кратко основные тезисы по мере поддержки, на кого она рассчитана и в какие сроки предоставляется.</w:t>
      </w:r>
    </w:p>
    <w:p w:rsidR="00442D8F" w:rsidRPr="00442D8F" w:rsidRDefault="00442D8F" w:rsidP="00442D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у пользователя остались какие-либо вопросы, он может обратиться в ФНС России с помощью </w:t>
      </w:r>
      <w:hyperlink r:id="rId11" w:tgtFrame="blank" w:history="1">
        <w:r w:rsidRPr="00442D8F">
          <w:rPr>
            <w:rFonts w:ascii="Arial" w:eastAsia="Times New Roman" w:hAnsi="Arial" w:cs="Arial"/>
            <w:i/>
            <w:color w:val="000000" w:themeColor="text1"/>
            <w:sz w:val="28"/>
            <w:szCs w:val="28"/>
            <w:lang w:eastAsia="ru-RU"/>
          </w:rPr>
          <w:t>специального сервиса</w:t>
        </w:r>
      </w:hyperlink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или по </w:t>
      </w:r>
      <w:hyperlink r:id="rId12" w:history="1">
        <w:r w:rsidRPr="00442D8F">
          <w:rPr>
            <w:rFonts w:ascii="Arial" w:eastAsia="Times New Roman" w:hAnsi="Arial" w:cs="Arial"/>
            <w:i/>
            <w:color w:val="000000" w:themeColor="text1"/>
            <w:sz w:val="28"/>
            <w:szCs w:val="28"/>
            <w:lang w:eastAsia="ru-RU"/>
          </w:rPr>
          <w:t>телефону контакт-центра</w:t>
        </w:r>
      </w:hyperlink>
      <w:r w:rsidRPr="00442D8F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8 (800) 222-22-22</w:t>
      </w:r>
      <w:r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442D8F" w:rsidRPr="00442D8F" w:rsidRDefault="00BF2252" w:rsidP="00442D8F">
      <w:pPr>
        <w:shd w:val="clear" w:color="auto" w:fill="FFFFFF"/>
        <w:spacing w:after="10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13" w:tgtFrame="blank" w:history="1">
        <w:r w:rsidR="00442D8F" w:rsidRPr="00442D8F">
          <w:rPr>
            <w:rFonts w:ascii="Arial" w:eastAsia="Times New Roman" w:hAnsi="Arial" w:cs="Arial"/>
            <w:i/>
            <w:color w:val="000000" w:themeColor="text1"/>
            <w:sz w:val="28"/>
            <w:szCs w:val="28"/>
            <w:lang w:eastAsia="ru-RU"/>
          </w:rPr>
          <w:t>Промостраница</w:t>
        </w:r>
      </w:hyperlink>
      <w:r w:rsidR="00442D8F" w:rsidRPr="00442D8F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(</w:t>
      </w:r>
      <w:hyperlink r:id="rId14" w:history="1">
        <w:r w:rsidR="00442D8F" w:rsidRPr="00442D8F">
          <w:rPr>
            <w:rFonts w:ascii="Arial" w:eastAsia="Times New Roman" w:hAnsi="Arial" w:cs="Arial"/>
            <w:i/>
            <w:color w:val="0000FF"/>
            <w:sz w:val="28"/>
            <w:szCs w:val="28"/>
            <w:u w:val="single"/>
            <w:lang w:eastAsia="ru-RU"/>
          </w:rPr>
          <w:t>https://www.nalog.gov.ru/rn77/mobilization/</w:t>
        </w:r>
      </w:hyperlink>
      <w:r w:rsidR="00442D8F" w:rsidRPr="00442D8F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) </w:t>
      </w:r>
      <w:r w:rsidR="00442D8F" w:rsidRPr="00442D8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будет дополняться по мере принятия новых нормативных актов.</w:t>
      </w:r>
    </w:p>
    <w:p w:rsidR="00442D8F" w:rsidRPr="00442D8F" w:rsidRDefault="00442D8F" w:rsidP="00442D8F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442D8F" w:rsidRPr="00442D8F" w:rsidSect="00156A6E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24C" w:rsidRDefault="00A6624C" w:rsidP="00830148">
      <w:pPr>
        <w:spacing w:after="0" w:line="240" w:lineRule="auto"/>
      </w:pPr>
      <w:r>
        <w:separator/>
      </w:r>
    </w:p>
  </w:endnote>
  <w:end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24C" w:rsidRDefault="00A662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A355A6" wp14:editId="41197BF9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24C" w:rsidRDefault="00A6624C" w:rsidP="00830148">
      <w:pPr>
        <w:spacing w:after="0" w:line="240" w:lineRule="auto"/>
      </w:pPr>
      <w:r>
        <w:separator/>
      </w:r>
    </w:p>
  </w:footnote>
  <w:foot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0088039">
    <w:abstractNumId w:val="4"/>
  </w:num>
  <w:num w:numId="2" w16cid:durableId="1540434038">
    <w:abstractNumId w:val="10"/>
  </w:num>
  <w:num w:numId="3" w16cid:durableId="83960314">
    <w:abstractNumId w:val="14"/>
  </w:num>
  <w:num w:numId="4" w16cid:durableId="274139694">
    <w:abstractNumId w:val="19"/>
  </w:num>
  <w:num w:numId="5" w16cid:durableId="935097579">
    <w:abstractNumId w:val="9"/>
  </w:num>
  <w:num w:numId="6" w16cid:durableId="778335915">
    <w:abstractNumId w:val="15"/>
  </w:num>
  <w:num w:numId="7" w16cid:durableId="2058628608">
    <w:abstractNumId w:val="18"/>
  </w:num>
  <w:num w:numId="8" w16cid:durableId="662666700">
    <w:abstractNumId w:val="5"/>
  </w:num>
  <w:num w:numId="9" w16cid:durableId="2091123025">
    <w:abstractNumId w:val="20"/>
  </w:num>
  <w:num w:numId="10" w16cid:durableId="486215705">
    <w:abstractNumId w:val="22"/>
  </w:num>
  <w:num w:numId="11" w16cid:durableId="910893287">
    <w:abstractNumId w:val="29"/>
  </w:num>
  <w:num w:numId="12" w16cid:durableId="1551958855">
    <w:abstractNumId w:val="7"/>
  </w:num>
  <w:num w:numId="13" w16cid:durableId="423307317">
    <w:abstractNumId w:val="21"/>
  </w:num>
  <w:num w:numId="14" w16cid:durableId="437217439">
    <w:abstractNumId w:val="0"/>
  </w:num>
  <w:num w:numId="15" w16cid:durableId="1182665752">
    <w:abstractNumId w:val="23"/>
    <w:lvlOverride w:ilvl="0">
      <w:startOverride w:val="1"/>
    </w:lvlOverride>
  </w:num>
  <w:num w:numId="16" w16cid:durableId="1978757499">
    <w:abstractNumId w:val="24"/>
    <w:lvlOverride w:ilvl="0">
      <w:startOverride w:val="1"/>
    </w:lvlOverride>
  </w:num>
  <w:num w:numId="17" w16cid:durableId="887883426">
    <w:abstractNumId w:val="8"/>
    <w:lvlOverride w:ilvl="0">
      <w:startOverride w:val="1"/>
    </w:lvlOverride>
  </w:num>
  <w:num w:numId="18" w16cid:durableId="72090236">
    <w:abstractNumId w:val="12"/>
    <w:lvlOverride w:ilvl="0">
      <w:startOverride w:val="1"/>
    </w:lvlOverride>
  </w:num>
  <w:num w:numId="19" w16cid:durableId="67192854">
    <w:abstractNumId w:val="25"/>
    <w:lvlOverride w:ilvl="0">
      <w:startOverride w:val="1"/>
    </w:lvlOverride>
  </w:num>
  <w:num w:numId="20" w16cid:durableId="696665225">
    <w:abstractNumId w:val="28"/>
    <w:lvlOverride w:ilvl="0">
      <w:startOverride w:val="1"/>
    </w:lvlOverride>
  </w:num>
  <w:num w:numId="21" w16cid:durableId="179973034">
    <w:abstractNumId w:val="30"/>
    <w:lvlOverride w:ilvl="0">
      <w:startOverride w:val="1"/>
    </w:lvlOverride>
  </w:num>
  <w:num w:numId="22" w16cid:durableId="1864899858">
    <w:abstractNumId w:val="26"/>
    <w:lvlOverride w:ilvl="0">
      <w:startOverride w:val="1"/>
    </w:lvlOverride>
  </w:num>
  <w:num w:numId="23" w16cid:durableId="115175009">
    <w:abstractNumId w:val="3"/>
    <w:lvlOverride w:ilvl="0">
      <w:startOverride w:val="1"/>
    </w:lvlOverride>
  </w:num>
  <w:num w:numId="24" w16cid:durableId="146364625">
    <w:abstractNumId w:val="27"/>
    <w:lvlOverride w:ilvl="0">
      <w:startOverride w:val="1"/>
    </w:lvlOverride>
  </w:num>
  <w:num w:numId="25" w16cid:durableId="1104813316">
    <w:abstractNumId w:val="6"/>
  </w:num>
  <w:num w:numId="26" w16cid:durableId="181475463">
    <w:abstractNumId w:val="16"/>
  </w:num>
  <w:num w:numId="27" w16cid:durableId="1827546388">
    <w:abstractNumId w:val="17"/>
  </w:num>
  <w:num w:numId="28" w16cid:durableId="1988625439">
    <w:abstractNumId w:val="11"/>
  </w:num>
  <w:num w:numId="29" w16cid:durableId="347098339">
    <w:abstractNumId w:val="13"/>
  </w:num>
  <w:num w:numId="30" w16cid:durableId="730541506">
    <w:abstractNumId w:val="1"/>
  </w:num>
  <w:num w:numId="31" w16cid:durableId="3200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42D8F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72A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BF2252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85864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FB0C0-72F5-1240-A720-FC190C50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nalog.gov.ru/rn77/mobilization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tel:+78002222222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nalog.gov.ru/rn77/service/obr_fts/other_mob/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https://www.nalog.gov.ru/rn77/mobilization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nalog.gov.ru/rn77/mobilization/" TargetMode="External" /><Relationship Id="rId14" Type="http://schemas.openxmlformats.org/officeDocument/2006/relationships/hyperlink" Target="https://www.nalog.gov.ru/rn77/mobilization/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A14D-C42E-4EE4-B60A-E3B54C4221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79241317882</cp:lastModifiedBy>
  <cp:revision>2</cp:revision>
  <cp:lastPrinted>2020-03-26T02:50:00Z</cp:lastPrinted>
  <dcterms:created xsi:type="dcterms:W3CDTF">2022-10-28T00:52:00Z</dcterms:created>
  <dcterms:modified xsi:type="dcterms:W3CDTF">2022-10-28T00:52:00Z</dcterms:modified>
</cp:coreProperties>
</file>